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Басманный районный суд ЦАО </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города Москвы</w:t>
      </w:r>
    </w:p>
    <w:p w:rsidR="00000000" w:rsidDel="00000000" w:rsidP="00000000" w:rsidRDefault="00000000" w:rsidRPr="00000000" w14:paraId="00000003">
      <w:pPr>
        <w:rPr>
          <w:sz w:val="26"/>
          <w:szCs w:val="26"/>
        </w:rPr>
      </w:pPr>
      <w:r w:rsidDel="00000000" w:rsidR="00000000" w:rsidRPr="00000000">
        <w:rPr>
          <w:sz w:val="26"/>
          <w:szCs w:val="26"/>
          <w:rtl w:val="0"/>
        </w:rPr>
        <w:t xml:space="preserve">107078, г.Москва, Каланчёвская улица, дом 11, строение 1</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Истец: </w:t>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Иванов Иван Иванович</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Адрес регистрации: 191000, г. Москва,  ул. Уличная, д. 1, кв. 1</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Паспорт 0000 000001</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Выдан ТО УФМС</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Дата выдачи 01.02.2010 г.</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Телефон 8000000000</w:t>
      </w:r>
    </w:p>
    <w:p w:rsidR="00000000" w:rsidDel="00000000" w:rsidP="00000000" w:rsidRDefault="00000000" w:rsidRPr="00000000" w14:paraId="0000000B">
      <w:pPr>
        <w:rPr>
          <w:sz w:val="26"/>
          <w:szCs w:val="26"/>
        </w:rPr>
      </w:pPr>
      <w:r w:rsidDel="00000000" w:rsidR="00000000" w:rsidRPr="00000000">
        <w:rPr>
          <w:sz w:val="26"/>
          <w:szCs w:val="26"/>
          <w:rtl w:val="0"/>
        </w:rPr>
        <w:t xml:space="preserve">Ответчик</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Пэпэтэшин Петр Петрович</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Адрес регистрации: 191000, г. Москва,  ул. Уличная, д. 2, кв. 2</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Паспорт 0000 000002</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Выдан ТО УФМС</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Дата выдачи 01.02.2012 г.</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Телефон 8000000001</w:t>
      </w:r>
    </w:p>
    <w:p w:rsidR="00000000" w:rsidDel="00000000" w:rsidP="00000000" w:rsidRDefault="00000000" w:rsidRPr="00000000" w14:paraId="00000012">
      <w:pPr>
        <w:jc w:val="center"/>
        <w:rPr>
          <w:sz w:val="26"/>
          <w:szCs w:val="26"/>
        </w:rPr>
      </w:pPr>
      <w:r w:rsidDel="00000000" w:rsidR="00000000" w:rsidRPr="00000000">
        <w:rPr>
          <w:sz w:val="26"/>
          <w:szCs w:val="26"/>
          <w:rtl w:val="0"/>
        </w:rPr>
        <w:t xml:space="preserve">Исковое заявление</w:t>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В период с февраля по декабрь 0000 года между истцом и ответчиком было заключено 18 договоров займа, по условиям которых истец передал ответчику денежные средства в общем размере 21 807 700 руб., однако ответчик свои обязательства по возврату долга не исполнил. Указанными договорами предусмотрены штрафные санкции за нарушение сроков возврата займов. Договоры займа фактически не заключались, денежные средства по ним не передавались, указанные сделки являются притворными, поскольку заключались как способ обеспечения исполнения обязательств по агентскому договору, заключенному между ответчиком и ООО "Центр " (агентом), по уплате принципалом в пользу агента агентского вознаграждения. Между Ивановым И.И. (заимодавцем) и Пэпэтэшиным П.П. (заемщиком) были заключены следующие договоры беспроцентного займа денежных средств: договор от 6 февраля 0000 года на сумму 1 170 000 руб. сроком возврата до 6 февраля 0000 года; договор от 15 февраля 0000 года на сумму 1 080 000 руб. сроком возврата до 15 февраля 0000 года; договор от 15 февраля 0000 года на сумму 810 000 руб. сроком возврата до 15 февраля 0000 года; договор от 17 февраля 0000 года на сумму 250 000 руб. сроком возврата до 17 февраля 0000 года; договор от 17 февраля 0000 года на сумму 594 000 руб. сроком возврата до 17 февраля 0000 года; договор от 7 марта 0000 года на сумму 900 000 руб. сроком возврата до 7 марта 0000 года; договор от 24 мая 0000 года на сумму 600 000 руб. сроком возврата до 24 мая 0000 года; договор от 26 мая 0000 года на сумму 1 980 000 руб. сроком возврата до 22 мая 0000 года; договор от 26 сентября 0000 года на сумму 1 620 000 руб. сроком возврата до 25 сентября 0000 года; договор о 27 октября 0000 года на сумму 1 587 000 руб. сроком возврата до 26 октября 0000 года; договор от 14 ноября 0000 года на сумму 1 932 000 руб. сроком возврата до 26 октября 0000 года; договор от 22 ноября 0000 года на сумму 2 070 000 руб. сроком возврата до 21 ноября 0000 года; договор от 28 ноября 0000 года на сумму 1 999 200 руб. сроком возврата до 27 ноября 0000 года; договор от 1 декабря 0000 года на сумму 600 000 руб., сроком возврата до 1 декабря 0000 года; договор от 6 декабря 0000 года на сумму 931 500 руб. сроком возврата до 5 декабря 0000 года; договор от 8 декабря 0000 года на сумму 720 000 руб. сроком возврата до 7 декабря 0000 года; договор от 8 декабря 0000 года на сумму 990 000 руб. сроком возврата до 7 декабря 0000 года; договор от 11 декабря 0000 года на сумму 1 974 000 руб. сроком возврата до 10 декабря 0000 года. Пунктом 2.3 каждого из указанных договоров предусмотрено, что в случае нарушения заемщиком срока возврата суммы займа, предусмотренной пунктом 3.2 договора, заимодавец вправе потребовать досрочного возврата суммы займа и уплаты заемщиком штрафа из расчета 1 000 рублей за каждый день просрочки, начиная со следующего дня с даты, указанной в пункте 3.2 договора. подтверждение получения денежных средств по каждому из указанных договоров займа, выданы письменные расписки, подписанные им лично. Ответчик факт подписания договоров займа и написания расписок в подтверждение имевшихся у него обязательств по возврату указанных в них сумм не оспаривал, указывая лишь на то, что деньги от по договорам займа не получал, данные договоры являются притворными сделками, поскольку служили способом обеспечения исполнения обязательств по агентскому договору от 19 января 0000 года (в редакции дополнительного соглашения от 10 марта 0000 года), заключенному между ним и ООО "Центр». В отношении ответчика возбуждено уголовное дело за мошенничество в отношении иных лиц. Материалы уголовного дела прилагается. По условиям агентского договора ООО "Центр" осуществляло поиск лиц-заемщиков, оформляло необходимые документы, а ответчик за счет личных средств передавал указанным лицам денежные средства взаем под проценты. Часть полученных от заемщиков процентов С. уплачивал агенту в качестве вознаграждения. Согласно пункту 3.14 агентского договора от 19 января 0000 года, заключенного между ООО "Центр" (агентом) и ответчиком обеспечением исполнения обязательств по оплате агентского вознаграждения выступают собственноручные расписки принципала в пользу агента или лиц, указанных им, с указанием в качестве суммы займа планируемого размера агентского вознаграждения, подлежащего уплате в будущем.</w:t>
      </w:r>
    </w:p>
    <w:p w:rsidR="00000000" w:rsidDel="00000000" w:rsidP="00000000" w:rsidRDefault="00000000" w:rsidRPr="00000000" w14:paraId="00000014">
      <w:pPr>
        <w:jc w:val="center"/>
        <w:rPr>
          <w:sz w:val="26"/>
          <w:szCs w:val="26"/>
        </w:rPr>
      </w:pPr>
      <w:r w:rsidDel="00000000" w:rsidR="00000000" w:rsidRPr="00000000">
        <w:rPr>
          <w:sz w:val="26"/>
          <w:szCs w:val="26"/>
          <w:rtl w:val="0"/>
        </w:rPr>
        <w:t xml:space="preserve">ПРОШУ</w:t>
      </w:r>
    </w:p>
    <w:p w:rsidR="00000000" w:rsidDel="00000000" w:rsidP="00000000" w:rsidRDefault="00000000" w:rsidRPr="00000000" w14:paraId="00000015">
      <w:pPr>
        <w:numPr>
          <w:ilvl w:val="0"/>
          <w:numId w:val="1"/>
        </w:numPr>
        <w:spacing w:after="0" w:afterAutospacing="0" w:before="240" w:lineRule="auto"/>
        <w:ind w:left="720" w:hanging="360"/>
        <w:jc w:val="both"/>
        <w:rPr>
          <w:sz w:val="26"/>
          <w:szCs w:val="26"/>
        </w:rPr>
      </w:pPr>
      <w:r w:rsidDel="00000000" w:rsidR="00000000" w:rsidRPr="00000000">
        <w:rPr>
          <w:sz w:val="26"/>
          <w:szCs w:val="26"/>
          <w:rtl w:val="0"/>
        </w:rPr>
        <w:t xml:space="preserve">Взыскать с Пэпэтэшина П.П. В пользу Иванова И.И. задолженность по договорам займа в сумме 21 807 700 руб.</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Взыскать с Пэпэтэшина П.П. В пользу Иванова И.И. штраф в размере 17 009 000 руб.</w:t>
      </w:r>
    </w:p>
    <w:p w:rsidR="00000000" w:rsidDel="00000000" w:rsidP="00000000" w:rsidRDefault="00000000" w:rsidRPr="00000000" w14:paraId="00000017">
      <w:pPr>
        <w:numPr>
          <w:ilvl w:val="0"/>
          <w:numId w:val="1"/>
        </w:numPr>
        <w:spacing w:after="240" w:before="0" w:beforeAutospacing="0" w:lineRule="auto"/>
        <w:ind w:left="720" w:hanging="360"/>
        <w:jc w:val="both"/>
        <w:rPr>
          <w:sz w:val="26"/>
          <w:szCs w:val="26"/>
        </w:rPr>
      </w:pPr>
      <w:r w:rsidDel="00000000" w:rsidR="00000000" w:rsidRPr="00000000">
        <w:rPr>
          <w:sz w:val="26"/>
          <w:szCs w:val="26"/>
          <w:rtl w:val="0"/>
        </w:rPr>
        <w:t xml:space="preserve">Взыскать с Пэпэтэшина П.П. В пользу Иванова И.И. расходы по уплате государственной пошлины в размере 60 000 руб.</w:t>
      </w:r>
    </w:p>
    <w:p w:rsidR="00000000" w:rsidDel="00000000" w:rsidP="00000000" w:rsidRDefault="00000000" w:rsidRPr="00000000" w14:paraId="00000018">
      <w:pPr>
        <w:jc w:val="both"/>
        <w:rPr>
          <w:sz w:val="26"/>
          <w:szCs w:val="26"/>
        </w:rPr>
      </w:pPr>
      <w:r w:rsidDel="00000000" w:rsidR="00000000" w:rsidRPr="00000000">
        <w:rPr>
          <w:sz w:val="26"/>
          <w:szCs w:val="26"/>
          <w:rtl w:val="0"/>
        </w:rPr>
        <w:t xml:space="preserve">Приложение:</w:t>
      </w:r>
    </w:p>
    <w:p w:rsidR="00000000" w:rsidDel="00000000" w:rsidP="00000000" w:rsidRDefault="00000000" w:rsidRPr="00000000" w14:paraId="00000019">
      <w:pPr>
        <w:numPr>
          <w:ilvl w:val="0"/>
          <w:numId w:val="2"/>
        </w:numPr>
        <w:spacing w:after="0" w:afterAutospacing="0" w:before="240" w:lineRule="auto"/>
        <w:ind w:left="720" w:hanging="360"/>
        <w:jc w:val="both"/>
        <w:rPr>
          <w:sz w:val="26"/>
          <w:szCs w:val="26"/>
        </w:rPr>
      </w:pPr>
      <w:r w:rsidDel="00000000" w:rsidR="00000000" w:rsidRPr="00000000">
        <w:rPr>
          <w:sz w:val="26"/>
          <w:szCs w:val="26"/>
          <w:rtl w:val="0"/>
        </w:rPr>
        <w:t xml:space="preserve">Доверенность представителя;</w:t>
      </w:r>
    </w:p>
    <w:p w:rsidR="00000000" w:rsidDel="00000000" w:rsidP="00000000" w:rsidRDefault="00000000" w:rsidRPr="00000000" w14:paraId="0000001A">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Документ подтверждающий уплату госпошлины;</w:t>
      </w:r>
    </w:p>
    <w:p w:rsidR="00000000" w:rsidDel="00000000" w:rsidP="00000000" w:rsidRDefault="00000000" w:rsidRPr="00000000" w14:paraId="0000001B">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Претензия Ответчику;</w:t>
      </w:r>
    </w:p>
    <w:p w:rsidR="00000000" w:rsidDel="00000000" w:rsidP="00000000" w:rsidRDefault="00000000" w:rsidRPr="00000000" w14:paraId="0000001C">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Договор оказанию юридических услуг;</w:t>
      </w:r>
    </w:p>
    <w:p w:rsidR="00000000" w:rsidDel="00000000" w:rsidP="00000000" w:rsidRDefault="00000000" w:rsidRPr="00000000" w14:paraId="0000001D">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Банковская выписка;</w:t>
      </w:r>
    </w:p>
    <w:p w:rsidR="00000000" w:rsidDel="00000000" w:rsidP="00000000" w:rsidRDefault="00000000" w:rsidRPr="00000000" w14:paraId="0000001E">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Материалы уголовного дела;</w:t>
      </w:r>
    </w:p>
    <w:p w:rsidR="00000000" w:rsidDel="00000000" w:rsidP="00000000" w:rsidRDefault="00000000" w:rsidRPr="00000000" w14:paraId="0000001F">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Документы, подтверждающие обстоятельства, на которых истец основывает свои требования;</w:t>
      </w:r>
    </w:p>
    <w:p w:rsidR="00000000" w:rsidDel="00000000" w:rsidP="00000000" w:rsidRDefault="00000000" w:rsidRPr="00000000" w14:paraId="00000020">
      <w:pPr>
        <w:numPr>
          <w:ilvl w:val="0"/>
          <w:numId w:val="2"/>
        </w:numPr>
        <w:spacing w:after="0" w:afterAutospacing="0" w:before="0" w:beforeAutospacing="0" w:lineRule="auto"/>
        <w:ind w:left="720" w:hanging="360"/>
        <w:jc w:val="both"/>
        <w:rPr>
          <w:sz w:val="26"/>
          <w:szCs w:val="26"/>
        </w:rPr>
      </w:pPr>
      <w:r w:rsidDel="00000000" w:rsidR="00000000" w:rsidRPr="00000000">
        <w:rPr>
          <w:sz w:val="26"/>
          <w:szCs w:val="26"/>
          <w:rtl w:val="0"/>
        </w:rPr>
        <w:t xml:space="preserve">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000000" w:rsidDel="00000000" w:rsidP="00000000" w:rsidRDefault="00000000" w:rsidRPr="00000000" w14:paraId="00000021">
      <w:pPr>
        <w:numPr>
          <w:ilvl w:val="0"/>
          <w:numId w:val="2"/>
        </w:numPr>
        <w:spacing w:after="240" w:before="0" w:beforeAutospacing="0" w:lineRule="auto"/>
        <w:ind w:left="720" w:hanging="360"/>
        <w:jc w:val="both"/>
        <w:rPr>
          <w:sz w:val="26"/>
          <w:szCs w:val="26"/>
        </w:rPr>
      </w:pPr>
      <w:r w:rsidDel="00000000" w:rsidR="00000000" w:rsidRPr="00000000">
        <w:rPr>
          <w:sz w:val="26"/>
          <w:szCs w:val="26"/>
          <w:rtl w:val="0"/>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000000" w:rsidDel="00000000" w:rsidP="00000000" w:rsidRDefault="00000000" w:rsidRPr="00000000" w14:paraId="00000022">
      <w:pPr>
        <w:jc w:val="both"/>
        <w:rPr>
          <w:sz w:val="26"/>
          <w:szCs w:val="26"/>
        </w:rPr>
      </w:pPr>
      <w:r w:rsidDel="00000000" w:rsidR="00000000" w:rsidRPr="00000000">
        <w:rPr>
          <w:sz w:val="26"/>
          <w:szCs w:val="26"/>
          <w:rtl w:val="0"/>
        </w:rPr>
        <w:t xml:space="preserve">Истец (представитель): </w:t>
      </w:r>
      <w:r w:rsidDel="00000000" w:rsidR="00000000" w:rsidRPr="00000000">
        <w:rPr>
          <w:i w:val="1"/>
          <w:sz w:val="26"/>
          <w:szCs w:val="26"/>
          <w:rtl w:val="0"/>
        </w:rPr>
        <w:t xml:space="preserve">Иванов </w:t>
      </w:r>
      <w:r w:rsidDel="00000000" w:rsidR="00000000" w:rsidRPr="00000000">
        <w:rPr>
          <w:sz w:val="26"/>
          <w:szCs w:val="26"/>
          <w:rtl w:val="0"/>
        </w:rPr>
        <w:t xml:space="preserve">/ Иванов И.И.</w:t>
      </w:r>
    </w:p>
    <w:p w:rsidR="00000000" w:rsidDel="00000000" w:rsidP="00000000" w:rsidRDefault="00000000" w:rsidRPr="00000000" w14:paraId="00000023">
      <w:pPr>
        <w:jc w:val="both"/>
        <w:rPr>
          <w:sz w:val="26"/>
          <w:szCs w:val="26"/>
        </w:rPr>
      </w:pPr>
      <w:r w:rsidDel="00000000" w:rsidR="00000000" w:rsidRPr="00000000">
        <w:rPr>
          <w:sz w:val="26"/>
          <w:szCs w:val="26"/>
          <w:rtl w:val="0"/>
        </w:rPr>
        <w:t xml:space="preserve">15 мая 2023 г.</w:t>
      </w:r>
    </w:p>
    <w:p w:rsidR="00000000" w:rsidDel="00000000" w:rsidP="00000000" w:rsidRDefault="00000000" w:rsidRPr="00000000" w14:paraId="00000024">
      <w:pPr>
        <w:rPr>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